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45" w:rsidRDefault="008C3545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3EB2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5C0E4F">
        <w:rPr>
          <w:rFonts w:ascii="標楷體" w:eastAsia="標楷體" w:hAnsi="標楷體" w:cs="標楷體" w:hint="eastAsia"/>
          <w:b/>
          <w:sz w:val="28"/>
          <w:szCs w:val="28"/>
          <w:u w:val="single"/>
        </w:rPr>
        <w:t>美崙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C0E4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F7C09">
        <w:rPr>
          <w:rFonts w:ascii="標楷體" w:eastAsia="標楷體" w:hAnsi="標楷體" w:cs="標楷體" w:hint="eastAsia"/>
          <w:b/>
          <w:sz w:val="28"/>
          <w:szCs w:val="28"/>
          <w:u w:val="single"/>
        </w:rPr>
        <w:t>12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0F7C09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</w:t>
      </w:r>
      <w:r w:rsidR="00133EB2" w:rsidRPr="003E124D">
        <w:rPr>
          <w:rFonts w:ascii="標楷體" w:eastAsia="標楷體" w:hAnsi="標楷體" w:cs="MS Gothic" w:hint="eastAsia"/>
          <w:color w:val="000000"/>
        </w:rPr>
        <w:t>□</w:t>
      </w:r>
      <w:r w:rsidR="00133EB2">
        <w:rPr>
          <w:rFonts w:ascii="標楷體" w:eastAsia="標楷體" w:hAnsi="標楷體" w:cs="MS Gothic"/>
          <w:color w:val="000000"/>
        </w:rPr>
        <w:t>本土語</w:t>
      </w:r>
      <w:r w:rsidR="00133EB2" w:rsidRPr="003E124D">
        <w:rPr>
          <w:rFonts w:ascii="標楷體" w:eastAsia="標楷體" w:hAnsi="標楷體" w:cs="MS Gothic"/>
          <w:color w:val="000000"/>
        </w:rPr>
        <w:t>文</w:t>
      </w:r>
      <w:r w:rsidR="00133EB2">
        <w:rPr>
          <w:rFonts w:ascii="標楷體" w:eastAsia="標楷體" w:hAnsi="標楷體" w:cs="MS Gothic"/>
          <w:color w:val="000000"/>
        </w:rPr>
        <w:t xml:space="preserve">/台灣手語 </w:t>
      </w:r>
      <w:r w:rsidRPr="003E124D">
        <w:rPr>
          <w:rFonts w:ascii="標楷體" w:eastAsia="標楷體" w:hAnsi="標楷體" w:hint="eastAsia"/>
          <w:color w:val="000000"/>
        </w:rPr>
        <w:t xml:space="preserve">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133EB2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133EB2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□科技</w:t>
      </w:r>
    </w:p>
    <w:p w:rsidR="008C3545" w:rsidRPr="006135C0" w:rsidRDefault="008C3545" w:rsidP="00603AF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8C3545" w:rsidRPr="006135C0" w:rsidRDefault="008C3545" w:rsidP="00603AF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8C3545" w:rsidRPr="0091308C" w:rsidTr="00D24480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133EB2" w:rsidRDefault="00133EB2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:rsidTr="00D24480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D24480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2325" w:type="dxa"/>
          </w:tcPr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Pr="00500692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B32678" w:rsidRDefault="00AF3F26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Pr="00500692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603AF8" w:rsidRDefault="004527D6" w:rsidP="000B5A0B">
            <w:pPr>
              <w:spacing w:after="180"/>
              <w:rPr>
                <w:rFonts w:eastAsia="標楷體"/>
                <w:color w:val="0000FF"/>
              </w:rPr>
            </w:pPr>
            <w:r w:rsidRPr="00603AF8">
              <w:rPr>
                <w:rFonts w:eastAsia="標楷體" w:hint="eastAsia"/>
                <w:color w:val="0000FF"/>
              </w:rPr>
              <w:t>複習考</w:t>
            </w:r>
            <w:r w:rsidRPr="00603AF8">
              <w:rPr>
                <w:rFonts w:eastAsia="標楷體" w:hint="eastAsia"/>
                <w:color w:val="0000FF"/>
              </w:rPr>
              <w:t>1</w:t>
            </w:r>
          </w:p>
          <w:p w:rsidR="001638B6" w:rsidRPr="001A28D7" w:rsidRDefault="001638B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060E3B" w:rsidRDefault="00060E3B" w:rsidP="00060E3B">
            <w:pPr>
              <w:spacing w:after="180"/>
              <w:rPr>
                <w:rFonts w:eastAsia="標楷體"/>
                <w:color w:val="3333FF"/>
              </w:rPr>
            </w:pPr>
            <w:r>
              <w:rPr>
                <w:rFonts w:eastAsia="標楷體"/>
                <w:color w:val="3333FF"/>
              </w:rPr>
              <w:t>九年級</w:t>
            </w:r>
            <w:r w:rsidRPr="00060E3B">
              <w:rPr>
                <w:rFonts w:eastAsia="標楷體"/>
                <w:color w:val="3333FF"/>
              </w:rPr>
              <w:t>畢旅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603AF8" w:rsidRDefault="00603AF8" w:rsidP="000B5A0B">
            <w:pPr>
              <w:spacing w:after="180"/>
              <w:rPr>
                <w:rFonts w:eastAsia="標楷體"/>
                <w:color w:val="FF0000"/>
              </w:rPr>
            </w:pPr>
            <w:r w:rsidRPr="00603AF8">
              <w:rPr>
                <w:rFonts w:eastAsia="標楷體" w:hint="eastAsia"/>
                <w:color w:val="FF0000"/>
              </w:rPr>
              <w:t>中秋連假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1638B6" w:rsidRPr="00E85924" w:rsidRDefault="001638B6" w:rsidP="000B5A0B">
            <w:pPr>
              <w:spacing w:after="180"/>
              <w:rPr>
                <w:rFonts w:eastAsia="標楷體"/>
                <w:color w:val="3333FF"/>
              </w:rPr>
            </w:pPr>
            <w:r w:rsidRPr="00E85924">
              <w:rPr>
                <w:rFonts w:eastAsia="標楷體" w:hint="eastAsia"/>
                <w:color w:val="3333FF"/>
              </w:rPr>
              <w:t>國慶日連假</w:t>
            </w:r>
          </w:p>
          <w:p w:rsidR="00AF3F26" w:rsidRPr="00E85924" w:rsidRDefault="00D24480" w:rsidP="000B5A0B">
            <w:pPr>
              <w:spacing w:after="180"/>
              <w:rPr>
                <w:rFonts w:eastAsia="標楷體"/>
                <w:color w:val="3333FF"/>
              </w:rPr>
            </w:pPr>
            <w:r w:rsidRPr="00E85924">
              <w:rPr>
                <w:rFonts w:eastAsia="標楷體" w:hint="eastAsia"/>
                <w:color w:val="3333FF"/>
              </w:rPr>
              <w:t>第一次</w:t>
            </w:r>
            <w:r w:rsidR="00AF3F26" w:rsidRPr="00E85924">
              <w:rPr>
                <w:rFonts w:eastAsia="標楷體" w:hint="eastAsia"/>
                <w:color w:val="3333FF"/>
              </w:rPr>
              <w:t>段考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060E3B" w:rsidRDefault="00060E3B" w:rsidP="000B5A0B">
            <w:pPr>
              <w:spacing w:after="180"/>
              <w:rPr>
                <w:rFonts w:eastAsia="標楷體"/>
                <w:color w:val="3333FF"/>
              </w:rPr>
            </w:pPr>
            <w:r w:rsidRPr="00060E3B">
              <w:rPr>
                <w:rFonts w:eastAsia="標楷體" w:hint="eastAsia"/>
                <w:color w:val="3333FF"/>
              </w:rPr>
              <w:t>八年級</w:t>
            </w:r>
            <w:r w:rsidRPr="00060E3B">
              <w:rPr>
                <w:rFonts w:eastAsia="標楷體"/>
                <w:color w:val="3333FF"/>
              </w:rPr>
              <w:t>露營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060E3B" w:rsidRDefault="00060E3B" w:rsidP="000B5A0B">
            <w:pPr>
              <w:spacing w:after="180"/>
              <w:rPr>
                <w:rFonts w:eastAsia="標楷體"/>
                <w:color w:val="3333FF"/>
              </w:rPr>
            </w:pPr>
            <w:r w:rsidRPr="00060E3B">
              <w:rPr>
                <w:rFonts w:eastAsia="標楷體"/>
                <w:color w:val="3333FF"/>
              </w:rPr>
              <w:t>走秀活動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2A64A8" w:rsidRDefault="002A64A8" w:rsidP="000B5A0B">
            <w:pPr>
              <w:spacing w:after="180"/>
              <w:rPr>
                <w:rFonts w:eastAsia="標楷體"/>
                <w:color w:val="3333FF"/>
              </w:rPr>
            </w:pPr>
            <w:r w:rsidRPr="002A64A8">
              <w:rPr>
                <w:rFonts w:eastAsia="標楷體"/>
                <w:color w:val="3333FF"/>
              </w:rPr>
              <w:t>運動會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13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603AF8" w:rsidRDefault="00D24480" w:rsidP="000B5A0B">
            <w:pPr>
              <w:spacing w:after="180"/>
              <w:rPr>
                <w:rFonts w:eastAsia="標楷體"/>
                <w:color w:val="0000FF"/>
              </w:rPr>
            </w:pPr>
            <w:r w:rsidRPr="00603AF8">
              <w:rPr>
                <w:rFonts w:eastAsia="標楷體" w:hint="eastAsia"/>
                <w:color w:val="0000FF"/>
              </w:rPr>
              <w:t>第二次</w:t>
            </w:r>
            <w:r w:rsidR="00AF3F26" w:rsidRPr="00603AF8">
              <w:rPr>
                <w:rFonts w:eastAsia="標楷體" w:hint="eastAsia"/>
                <w:color w:val="0000FF"/>
              </w:rPr>
              <w:t>段考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603AF8" w:rsidRDefault="004527D6" w:rsidP="000B5A0B">
            <w:pPr>
              <w:spacing w:after="180"/>
              <w:rPr>
                <w:rFonts w:eastAsia="標楷體"/>
                <w:color w:val="0000FF"/>
              </w:rPr>
            </w:pPr>
            <w:r w:rsidRPr="00603AF8">
              <w:rPr>
                <w:rFonts w:eastAsia="標楷體" w:hint="eastAsia"/>
                <w:color w:val="0000FF"/>
              </w:rPr>
              <w:t>複習考</w:t>
            </w:r>
            <w:r w:rsidRPr="00603AF8">
              <w:rPr>
                <w:rFonts w:eastAsia="標楷體" w:hint="eastAsia"/>
                <w:color w:val="0000FF"/>
              </w:rPr>
              <w:t>2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603AF8" w:rsidRDefault="001638B6" w:rsidP="000B5A0B">
            <w:pPr>
              <w:spacing w:after="180"/>
              <w:rPr>
                <w:rFonts w:eastAsia="標楷體"/>
                <w:color w:val="0000FF"/>
              </w:rPr>
            </w:pPr>
            <w:r w:rsidRPr="00603AF8">
              <w:rPr>
                <w:rFonts w:eastAsia="標楷體"/>
                <w:color w:val="0000FF"/>
              </w:rPr>
              <w:t>元旦</w:t>
            </w: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AF3F26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AF3F26" w:rsidRPr="00B32678" w:rsidTr="00D24480">
        <w:trPr>
          <w:trHeight w:val="761"/>
        </w:trPr>
        <w:tc>
          <w:tcPr>
            <w:tcW w:w="772" w:type="dxa"/>
            <w:vAlign w:val="center"/>
          </w:tcPr>
          <w:p w:rsidR="00AF3F26" w:rsidRDefault="00AF3F26" w:rsidP="00BB55A9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775" w:type="dxa"/>
            <w:vAlign w:val="center"/>
          </w:tcPr>
          <w:p w:rsidR="00AF3F26" w:rsidRPr="00B32678" w:rsidRDefault="00AF3F26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AF3F26" w:rsidRPr="00500692" w:rsidRDefault="00AF3F26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AF3F26" w:rsidRPr="00B32678" w:rsidRDefault="00AF3F26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AF3F26" w:rsidRPr="00500692" w:rsidRDefault="00AF3F26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AF3F26" w:rsidRPr="00500692" w:rsidRDefault="00AF3F26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AF3F26" w:rsidRPr="001A28D7" w:rsidRDefault="00D24480" w:rsidP="000B5A0B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第三次</w:t>
            </w:r>
            <w:r w:rsidR="00AF3F26" w:rsidRPr="001A28D7">
              <w:rPr>
                <w:rFonts w:eastAsia="標楷體" w:hint="eastAsia"/>
                <w:color w:val="2E74B5" w:themeColor="accent1" w:themeShade="BF"/>
              </w:rPr>
              <w:t>段考</w:t>
            </w:r>
          </w:p>
        </w:tc>
      </w:tr>
    </w:tbl>
    <w:p w:rsidR="008C3545" w:rsidRDefault="008C3545" w:rsidP="008C3545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A3D81" w:rsidRDefault="008A3D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C332B" w:rsidRDefault="005C332B" w:rsidP="005C332B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3EB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美崙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F7C09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5C332B" w:rsidRPr="003E124D" w:rsidRDefault="005C332B" w:rsidP="00A9072C">
      <w:pPr>
        <w:pStyle w:val="a3"/>
        <w:numPr>
          <w:ilvl w:val="0"/>
          <w:numId w:val="5"/>
        </w:numPr>
        <w:tabs>
          <w:tab w:val="left" w:pos="567"/>
        </w:tabs>
        <w:adjustRightInd w:val="0"/>
        <w:snapToGrid w:val="0"/>
        <w:spacing w:line="240" w:lineRule="atLeast"/>
        <w:ind w:leftChars="0" w:left="0" w:firstLine="0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="00133EB2" w:rsidRPr="003E124D">
        <w:rPr>
          <w:rFonts w:ascii="標楷體" w:eastAsia="標楷體" w:hAnsi="標楷體" w:hint="eastAsia"/>
          <w:color w:val="000000"/>
        </w:rPr>
        <w:t>□國</w:t>
      </w:r>
      <w:r w:rsidR="00133EB2" w:rsidRPr="003E124D">
        <w:rPr>
          <w:rFonts w:ascii="標楷體" w:eastAsia="標楷體" w:hAnsi="標楷體"/>
          <w:color w:val="000000"/>
        </w:rPr>
        <w:t>語文</w:t>
      </w:r>
      <w:r w:rsidR="00133EB2" w:rsidRPr="003E124D">
        <w:rPr>
          <w:rFonts w:ascii="標楷體" w:eastAsia="標楷體" w:hAnsi="標楷體" w:hint="eastAsia"/>
          <w:color w:val="000000"/>
        </w:rPr>
        <w:t xml:space="preserve">   </w:t>
      </w:r>
      <w:r w:rsidR="00133EB2" w:rsidRPr="003E124D">
        <w:rPr>
          <w:rFonts w:ascii="標楷體" w:eastAsia="標楷體" w:hAnsi="標楷體" w:cs="MS Gothic" w:hint="eastAsia"/>
          <w:color w:val="000000"/>
        </w:rPr>
        <w:t>□</w:t>
      </w:r>
      <w:r w:rsidR="00133EB2">
        <w:rPr>
          <w:rFonts w:ascii="標楷體" w:eastAsia="標楷體" w:hAnsi="標楷體" w:cs="MS Gothic"/>
          <w:color w:val="000000"/>
        </w:rPr>
        <w:t>本土語</w:t>
      </w:r>
      <w:r w:rsidR="00133EB2" w:rsidRPr="003E124D">
        <w:rPr>
          <w:rFonts w:ascii="標楷體" w:eastAsia="標楷體" w:hAnsi="標楷體" w:cs="MS Gothic"/>
          <w:color w:val="000000"/>
        </w:rPr>
        <w:t>文</w:t>
      </w:r>
      <w:r w:rsidR="00133EB2">
        <w:rPr>
          <w:rFonts w:ascii="標楷體" w:eastAsia="標楷體" w:hAnsi="標楷體" w:cs="MS Gothic"/>
          <w:color w:val="000000"/>
        </w:rPr>
        <w:t xml:space="preserve">/台灣手語 </w:t>
      </w:r>
      <w:r w:rsidR="00133EB2" w:rsidRPr="003E124D">
        <w:rPr>
          <w:rFonts w:ascii="標楷體" w:eastAsia="標楷體" w:hAnsi="標楷體" w:hint="eastAsia"/>
          <w:color w:val="000000"/>
        </w:rPr>
        <w:t xml:space="preserve">  </w:t>
      </w:r>
      <w:r w:rsidR="00133EB2" w:rsidRPr="003E124D">
        <w:rPr>
          <w:rFonts w:ascii="標楷體" w:eastAsia="標楷體" w:hAnsi="標楷體" w:cs="MS Gothic" w:hint="eastAsia"/>
          <w:color w:val="000000"/>
        </w:rPr>
        <w:t>□</w:t>
      </w:r>
      <w:r w:rsidR="00133EB2" w:rsidRPr="003E124D">
        <w:rPr>
          <w:rFonts w:ascii="標楷體" w:eastAsia="標楷體" w:hAnsi="標楷體" w:cs="MS Gothic"/>
          <w:color w:val="000000"/>
        </w:rPr>
        <w:t>英語文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133EB2">
        <w:rPr>
          <w:rFonts w:ascii="標楷體" w:eastAsia="標楷體" w:hAnsi="標楷體" w:cs="MS Gothic" w:hint="eastAsia"/>
          <w:color w:val="000000"/>
        </w:rPr>
        <w:t xml:space="preserve"> </w:t>
      </w:r>
      <w:r w:rsidR="00133EB2" w:rsidRPr="003E124D">
        <w:rPr>
          <w:rFonts w:ascii="標楷體" w:eastAsia="標楷體" w:hAnsi="標楷體" w:hint="eastAsia"/>
          <w:color w:val="000000"/>
        </w:rPr>
        <w:t>□</w:t>
      </w:r>
      <w:r w:rsidR="00133EB2" w:rsidRPr="003E124D">
        <w:rPr>
          <w:rFonts w:ascii="標楷體" w:eastAsia="標楷體" w:hAnsi="標楷體" w:cs="MS Gothic"/>
          <w:color w:val="000000"/>
        </w:rPr>
        <w:t>數學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133EB2">
        <w:rPr>
          <w:rFonts w:ascii="標楷體" w:eastAsia="標楷體" w:hAnsi="標楷體" w:cs="MS Gothic"/>
          <w:color w:val="000000"/>
        </w:rPr>
        <w:t xml:space="preserve"> </w:t>
      </w:r>
      <w:r w:rsidR="00133EB2" w:rsidRPr="003E124D">
        <w:rPr>
          <w:rFonts w:ascii="標楷體" w:eastAsia="標楷體" w:hAnsi="標楷體" w:cs="MS Gothic" w:hint="eastAsia"/>
          <w:color w:val="000000"/>
        </w:rPr>
        <w:t>□</w:t>
      </w:r>
      <w:r w:rsidR="00133EB2" w:rsidRPr="003E124D">
        <w:rPr>
          <w:rFonts w:ascii="標楷體" w:eastAsia="標楷體" w:hAnsi="標楷體" w:cs="MS Gothic"/>
          <w:color w:val="000000"/>
        </w:rPr>
        <w:t>社會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133EB2" w:rsidRPr="003E124D">
        <w:rPr>
          <w:rFonts w:ascii="標楷體" w:eastAsia="標楷體" w:hAnsi="標楷體" w:cs="MS Gothic"/>
          <w:color w:val="000000"/>
        </w:rPr>
        <w:t xml:space="preserve"> </w:t>
      </w:r>
      <w:r w:rsidR="00133EB2" w:rsidRPr="003E124D">
        <w:rPr>
          <w:rFonts w:ascii="標楷體" w:eastAsia="標楷體" w:hAnsi="標楷體" w:cs="MS Gothic" w:hint="eastAsia"/>
          <w:color w:val="000000"/>
        </w:rPr>
        <w:t>□</w:t>
      </w:r>
      <w:r w:rsidR="00133EB2" w:rsidRPr="003E124D">
        <w:rPr>
          <w:rFonts w:ascii="標楷體" w:eastAsia="標楷體" w:hAnsi="標楷體" w:cs="MS Gothic"/>
          <w:color w:val="000000"/>
        </w:rPr>
        <w:t>自然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133EB2" w:rsidRPr="003E124D">
        <w:rPr>
          <w:rFonts w:ascii="標楷體" w:eastAsia="標楷體" w:hAnsi="標楷體" w:cs="MS Gothic"/>
          <w:color w:val="000000"/>
        </w:rPr>
        <w:t xml:space="preserve"> 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="00133EB2" w:rsidRPr="003E124D">
        <w:rPr>
          <w:rFonts w:ascii="標楷體" w:eastAsia="標楷體" w:hAnsi="標楷體" w:cs="MS Gothic"/>
          <w:color w:val="000000"/>
        </w:rPr>
        <w:t>藝術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  □</w:t>
      </w:r>
      <w:r w:rsidR="00133EB2" w:rsidRPr="003E124D">
        <w:rPr>
          <w:rFonts w:ascii="標楷體" w:eastAsia="標楷體" w:hAnsi="標楷體" w:cs="MS Gothic"/>
          <w:color w:val="000000"/>
        </w:rPr>
        <w:t>綜合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  □</w:t>
      </w:r>
      <w:r w:rsidR="00133EB2" w:rsidRPr="003E124D">
        <w:rPr>
          <w:rFonts w:ascii="標楷體" w:eastAsia="標楷體" w:hAnsi="標楷體" w:cs="MS Gothic"/>
          <w:color w:val="000000"/>
        </w:rPr>
        <w:t>健康與體育</w:t>
      </w:r>
      <w:r w:rsidR="00133EB2"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:rsidR="005C332B" w:rsidRPr="006135C0" w:rsidRDefault="005C332B" w:rsidP="00603AF8">
      <w:pPr>
        <w:pStyle w:val="a3"/>
        <w:numPr>
          <w:ilvl w:val="0"/>
          <w:numId w:val="5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5C332B" w:rsidRPr="006135C0" w:rsidRDefault="005C332B" w:rsidP="00603AF8">
      <w:pPr>
        <w:pStyle w:val="a3"/>
        <w:numPr>
          <w:ilvl w:val="0"/>
          <w:numId w:val="5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2325"/>
      </w:tblGrid>
      <w:tr w:rsidR="005C332B" w:rsidRPr="0091308C" w:rsidTr="00D24480">
        <w:trPr>
          <w:trHeight w:val="558"/>
        </w:trPr>
        <w:tc>
          <w:tcPr>
            <w:tcW w:w="772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5C332B" w:rsidRPr="0091308C" w:rsidRDefault="00133EB2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5C332B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5C332B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5C332B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2325" w:type="dxa"/>
            <w:vMerge w:val="restart"/>
            <w:vAlign w:val="center"/>
          </w:tcPr>
          <w:p w:rsidR="005C332B" w:rsidRPr="0091308C" w:rsidRDefault="005C332B" w:rsidP="00E63CD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5C332B" w:rsidRPr="0091308C" w:rsidTr="00D24480">
        <w:trPr>
          <w:trHeight w:val="224"/>
        </w:trPr>
        <w:tc>
          <w:tcPr>
            <w:tcW w:w="772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25" w:type="dxa"/>
            <w:vMerge/>
          </w:tcPr>
          <w:p w:rsidR="005C332B" w:rsidRPr="0091308C" w:rsidRDefault="005C332B" w:rsidP="00E63CD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5C332B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5C332B" w:rsidRPr="00500692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5C332B" w:rsidRPr="00500692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5C332B" w:rsidRPr="00500692" w:rsidRDefault="005C332B" w:rsidP="00E63CD4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5C332B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5C332B" w:rsidRPr="006F7F49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5C332B" w:rsidRPr="00F716C4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5C332B" w:rsidRPr="00F716C4" w:rsidRDefault="005C332B" w:rsidP="00E63CD4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5C332B" w:rsidRPr="00B32678" w:rsidRDefault="005C332B" w:rsidP="00E63CD4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Pr="00500692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Pr="00500692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8A4877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3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1F20A2" w:rsidRDefault="001638B6" w:rsidP="00E63CD4">
            <w:pPr>
              <w:spacing w:after="180"/>
              <w:rPr>
                <w:rFonts w:eastAsia="標楷體"/>
                <w:color w:val="0000FF"/>
              </w:rPr>
            </w:pPr>
            <w:r w:rsidRPr="001F20A2">
              <w:rPr>
                <w:rFonts w:eastAsia="標楷體" w:hint="eastAsia"/>
                <w:color w:val="0000FF"/>
              </w:rPr>
              <w:t>228</w:t>
            </w:r>
            <w:r w:rsidRPr="001F20A2">
              <w:rPr>
                <w:rFonts w:eastAsia="標楷體" w:hint="eastAsia"/>
                <w:color w:val="0000FF"/>
              </w:rPr>
              <w:t>放假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5A1E4F" w:rsidRDefault="0026575B" w:rsidP="00E63CD4">
            <w:pPr>
              <w:spacing w:after="180"/>
              <w:rPr>
                <w:rFonts w:eastAsia="標楷體"/>
                <w:color w:val="0070C0"/>
              </w:rPr>
            </w:pPr>
            <w:r w:rsidRPr="005A1E4F">
              <w:rPr>
                <w:rFonts w:eastAsia="標楷體" w:hint="eastAsia"/>
                <w:color w:val="0070C0"/>
              </w:rPr>
              <w:t>戶外教育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B32678" w:rsidRDefault="00D24480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</w:t>
            </w:r>
            <w:r w:rsidR="005C332B">
              <w:rPr>
                <w:rFonts w:eastAsia="標楷體" w:hint="eastAsia"/>
                <w:color w:val="0070C0"/>
              </w:rPr>
              <w:t>段考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1F20A2" w:rsidRDefault="001638B6" w:rsidP="00E63CD4">
            <w:pPr>
              <w:spacing w:after="180"/>
              <w:rPr>
                <w:rFonts w:eastAsia="標楷體"/>
                <w:color w:val="0000FF"/>
              </w:rPr>
            </w:pPr>
            <w:r w:rsidRPr="001F20A2">
              <w:rPr>
                <w:rFonts w:eastAsia="標楷體"/>
                <w:color w:val="0000FF"/>
              </w:rPr>
              <w:t>兒童節與清明節放假</w:t>
            </w:r>
          </w:p>
        </w:tc>
      </w:tr>
      <w:tr w:rsidR="005C332B" w:rsidRPr="00B32678" w:rsidTr="005A1E4F">
        <w:trPr>
          <w:trHeight w:val="656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8A4877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4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8A4877" w:rsidP="00EE668E">
            <w:pPr>
              <w:snapToGrid w:val="0"/>
              <w:spacing w:line="240" w:lineRule="atLeast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九年級</w:t>
            </w:r>
            <w:r w:rsidR="00D24480">
              <w:rPr>
                <w:rFonts w:eastAsia="標楷體" w:hint="eastAsia"/>
                <w:color w:val="0070C0"/>
              </w:rPr>
              <w:t>第二次</w:t>
            </w:r>
            <w:r>
              <w:rPr>
                <w:rFonts w:eastAsia="標楷體" w:hint="eastAsia"/>
                <w:color w:val="0070C0"/>
              </w:rPr>
              <w:t>段考</w:t>
            </w:r>
          </w:p>
          <w:p w:rsidR="0074174F" w:rsidRPr="0074174F" w:rsidRDefault="0074174F" w:rsidP="00EE668E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 w:rsidRPr="0074174F">
              <w:rPr>
                <w:rFonts w:eastAsia="標楷體" w:hint="eastAsia"/>
                <w:color w:val="0000FF"/>
              </w:rPr>
              <w:t>直笛比賽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14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26575B" w:rsidRDefault="008A4877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</w:t>
            </w:r>
            <w:r w:rsidR="00D24480">
              <w:rPr>
                <w:rFonts w:eastAsia="標楷體" w:hint="eastAsia"/>
                <w:color w:val="0070C0"/>
              </w:rPr>
              <w:t>第二次</w:t>
            </w:r>
            <w:r w:rsidR="005C332B">
              <w:rPr>
                <w:rFonts w:eastAsia="標楷體" w:hint="eastAsia"/>
                <w:color w:val="0070C0"/>
              </w:rPr>
              <w:t>段考</w:t>
            </w:r>
            <w:r w:rsidR="00EE668E">
              <w:rPr>
                <w:rFonts w:eastAsia="標楷體" w:hint="eastAsia"/>
                <w:color w:val="0070C0"/>
              </w:rPr>
              <w:t>、</w:t>
            </w:r>
            <w:r w:rsidR="00EE668E" w:rsidRPr="00EE668E">
              <w:rPr>
                <w:rFonts w:eastAsia="標楷體" w:hint="eastAsia"/>
                <w:color w:val="0000FF"/>
              </w:rPr>
              <w:t>會考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Pr="005A1E4F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1F20A2" w:rsidRDefault="001F20A2" w:rsidP="001F20A2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 w:rsidRPr="001F20A2">
              <w:rPr>
                <w:rFonts w:eastAsia="標楷體"/>
                <w:color w:val="0000FF"/>
              </w:rPr>
              <w:t>端午節放假</w:t>
            </w:r>
          </w:p>
          <w:p w:rsidR="005C332B" w:rsidRPr="001F20A2" w:rsidRDefault="001F20A2" w:rsidP="001F20A2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70C0"/>
              </w:rPr>
              <w:t>畢典</w:t>
            </w:r>
            <w:r>
              <w:rPr>
                <w:rFonts w:eastAsia="標楷體" w:hint="eastAsia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暫定</w:t>
            </w:r>
            <w:r>
              <w:rPr>
                <w:rFonts w:eastAsia="標楷體" w:hint="eastAsia"/>
                <w:color w:val="0070C0"/>
              </w:rPr>
              <w:t>)</w:t>
            </w: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5C332B" w:rsidP="00E63CD4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5C332B" w:rsidRPr="00B32678" w:rsidTr="00D24480">
        <w:trPr>
          <w:trHeight w:val="761"/>
        </w:trPr>
        <w:tc>
          <w:tcPr>
            <w:tcW w:w="772" w:type="dxa"/>
            <w:vAlign w:val="center"/>
          </w:tcPr>
          <w:p w:rsidR="005C332B" w:rsidRDefault="005C332B" w:rsidP="00E63CD4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:rsidR="005C332B" w:rsidRPr="00B32678" w:rsidRDefault="005C332B" w:rsidP="00E63CD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:rsidR="005C332B" w:rsidRPr="00500692" w:rsidRDefault="005C332B" w:rsidP="00E63CD4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5C332B" w:rsidRPr="00B32678" w:rsidRDefault="005C332B" w:rsidP="00E63CD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5C332B" w:rsidRPr="00500692" w:rsidRDefault="005C332B" w:rsidP="00E63CD4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30" w:type="dxa"/>
            <w:vAlign w:val="center"/>
          </w:tcPr>
          <w:p w:rsidR="005C332B" w:rsidRPr="00500692" w:rsidRDefault="005C332B" w:rsidP="00E63CD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325" w:type="dxa"/>
          </w:tcPr>
          <w:p w:rsidR="005C332B" w:rsidRDefault="001F20A2" w:rsidP="00E63CD4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七八年級第三次段考</w:t>
            </w:r>
          </w:p>
        </w:tc>
      </w:tr>
    </w:tbl>
    <w:p w:rsidR="001F20A2" w:rsidRDefault="001F20A2" w:rsidP="005C332B">
      <w:pPr>
        <w:widowControl/>
        <w:rPr>
          <w:rFonts w:ascii="標楷體" w:eastAsia="標楷體" w:hAnsi="標楷體"/>
        </w:rPr>
      </w:pPr>
    </w:p>
    <w:p w:rsidR="005C332B" w:rsidRDefault="005C332B" w:rsidP="005C332B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5C332B" w:rsidRPr="007D4930" w:rsidRDefault="005C332B" w:rsidP="005C332B">
      <w:pPr>
        <w:widowControl/>
        <w:rPr>
          <w:rFonts w:ascii="標楷體" w:eastAsia="標楷體" w:hAnsi="標楷體"/>
        </w:rPr>
      </w:pPr>
    </w:p>
    <w:p w:rsidR="005C332B" w:rsidRPr="005C332B" w:rsidRDefault="005C332B" w:rsidP="008C3545">
      <w:pPr>
        <w:widowControl/>
        <w:rPr>
          <w:rFonts w:ascii="標楷體" w:eastAsia="標楷體" w:hAnsi="標楷體"/>
        </w:rPr>
      </w:pPr>
    </w:p>
    <w:p w:rsidR="008C3545" w:rsidRPr="008A3D81" w:rsidRDefault="008C3545" w:rsidP="00603AF8">
      <w:pPr>
        <w:spacing w:afterLines="100" w:after="360" w:line="400" w:lineRule="exact"/>
        <w:jc w:val="both"/>
        <w:rPr>
          <w:rFonts w:ascii="標楷體" w:eastAsia="標楷體" w:hAnsi="標楷體"/>
          <w:b/>
          <w:color w:val="000000"/>
        </w:rPr>
      </w:pPr>
      <w:r w:rsidRPr="008A3D81">
        <w:rPr>
          <w:rFonts w:eastAsia="標楷體" w:hint="eastAsia"/>
          <w:b/>
        </w:rPr>
        <w:t>跨領</w:t>
      </w:r>
      <w:r w:rsidRPr="008A3D81">
        <w:rPr>
          <w:rFonts w:eastAsia="標楷體"/>
          <w:b/>
        </w:rPr>
        <w:t>域</w:t>
      </w:r>
      <w:r w:rsidRPr="008A3D81">
        <w:rPr>
          <w:rFonts w:eastAsia="標楷體" w:hint="eastAsia"/>
          <w:b/>
        </w:rPr>
        <w:t>課</w:t>
      </w:r>
      <w:r w:rsidRPr="008A3D81">
        <w:rPr>
          <w:rFonts w:eastAsia="標楷體"/>
          <w:b/>
        </w:rPr>
        <w:t>程計畫</w:t>
      </w:r>
      <w:r w:rsidRPr="008A3D81">
        <w:rPr>
          <w:rFonts w:ascii="標楷體" w:eastAsia="標楷體" w:hAnsi="標楷體" w:hint="eastAsia"/>
          <w:b/>
          <w:lang w:eastAsia="zh-HK"/>
        </w:rPr>
        <w:t>（統整節數不得超過</w:t>
      </w:r>
      <w:r w:rsidRPr="008A3D81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8A3D81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8A3D81">
        <w:rPr>
          <w:rFonts w:ascii="標楷體" w:eastAsia="標楷體" w:hAnsi="標楷體"/>
          <w:b/>
          <w:lang w:eastAsia="zh-HK"/>
        </w:rPr>
        <w:t>）</w:t>
      </w:r>
      <w:r w:rsidR="008A3D81" w:rsidRPr="008A3D81">
        <w:rPr>
          <w:rFonts w:ascii="標楷體" w:eastAsia="標楷體" w:hAnsi="標楷體"/>
          <w:b/>
          <w:color w:val="3333FF"/>
          <w:lang w:eastAsia="zh-HK"/>
        </w:rPr>
        <w:t>(</w:t>
      </w:r>
      <w:r w:rsidR="008A3D81">
        <w:rPr>
          <w:rFonts w:ascii="標楷體" w:eastAsia="標楷體" w:hAnsi="標楷體"/>
          <w:b/>
          <w:color w:val="3333FF"/>
          <w:lang w:eastAsia="zh-HK"/>
        </w:rPr>
        <w:t>若跨領域，可能會某單元由某一科上。若無跨領域上課，</w:t>
      </w:r>
      <w:r w:rsidR="008A3D81" w:rsidRPr="008A3D81">
        <w:rPr>
          <w:rFonts w:ascii="標楷體" w:eastAsia="標楷體" w:hAnsi="標楷體"/>
          <w:b/>
          <w:color w:val="3333FF"/>
          <w:lang w:eastAsia="zh-HK"/>
        </w:rPr>
        <w:t>則免寫</w:t>
      </w:r>
      <w:r w:rsidR="008A3D81">
        <w:rPr>
          <w:rFonts w:ascii="標楷體" w:eastAsia="標楷體" w:hAnsi="標楷體"/>
          <w:b/>
          <w:color w:val="3333FF"/>
          <w:lang w:eastAsia="zh-HK"/>
        </w:rPr>
        <w:t>「</w:t>
      </w:r>
      <w:r w:rsidR="008A3D81" w:rsidRPr="008A3D81">
        <w:rPr>
          <w:rFonts w:ascii="標楷體" w:eastAsia="標楷體" w:hAnsi="標楷體" w:hint="eastAsia"/>
          <w:b/>
          <w:color w:val="3333FF"/>
          <w:lang w:eastAsia="zh-HK"/>
        </w:rPr>
        <w:t>跨領</w:t>
      </w:r>
      <w:r w:rsidR="008A3D81" w:rsidRPr="008A3D81">
        <w:rPr>
          <w:rFonts w:ascii="標楷體" w:eastAsia="標楷體" w:hAnsi="標楷體"/>
          <w:b/>
          <w:color w:val="3333FF"/>
          <w:lang w:eastAsia="zh-HK"/>
        </w:rPr>
        <w:t>域</w:t>
      </w:r>
      <w:r w:rsidR="008A3D81" w:rsidRPr="008A3D81">
        <w:rPr>
          <w:rFonts w:ascii="標楷體" w:eastAsia="標楷體" w:hAnsi="標楷體" w:hint="eastAsia"/>
          <w:b/>
          <w:color w:val="3333FF"/>
          <w:lang w:eastAsia="zh-HK"/>
        </w:rPr>
        <w:t>課</w:t>
      </w:r>
      <w:r w:rsidR="008A3D81" w:rsidRPr="008A3D81">
        <w:rPr>
          <w:rFonts w:ascii="標楷體" w:eastAsia="標楷體" w:hAnsi="標楷體"/>
          <w:b/>
          <w:color w:val="3333FF"/>
          <w:lang w:eastAsia="zh-HK"/>
        </w:rPr>
        <w:t>程計畫</w:t>
      </w:r>
      <w:r w:rsidR="008A3D81">
        <w:rPr>
          <w:rFonts w:ascii="標楷體" w:eastAsia="標楷體" w:hAnsi="標楷體"/>
          <w:b/>
          <w:color w:val="3333FF"/>
          <w:lang w:eastAsia="zh-HK"/>
        </w:rPr>
        <w:t>」</w:t>
      </w:r>
      <w:r w:rsidR="008A3D81" w:rsidRPr="008A3D81">
        <w:rPr>
          <w:rFonts w:ascii="標楷體" w:eastAsia="標楷體" w:hAnsi="標楷體"/>
          <w:b/>
          <w:color w:val="3333FF"/>
          <w:lang w:eastAsia="zh-HK"/>
        </w:rPr>
        <w:t>。)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lastRenderedPageBreak/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133EB2" w:rsidRDefault="00133EB2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bookmarkStart w:id="0" w:name="_GoBack"/>
            <w:bookmarkEnd w:id="0"/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8C3545" w:rsidRPr="009E6F5E" w:rsidRDefault="008C3545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C3545" w:rsidRPr="00B32678" w:rsidRDefault="008C3545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8C3545" w:rsidRPr="009E6F5E" w:rsidRDefault="008C3545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8C3545" w:rsidRDefault="008C3545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8C3545" w:rsidRPr="00500692" w:rsidRDefault="008C3545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8C3545" w:rsidRPr="006163A2" w:rsidRDefault="008C3545" w:rsidP="008C354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8C3545" w:rsidRDefault="008C3545" w:rsidP="008C3545">
      <w:pPr>
        <w:widowControl/>
        <w:rPr>
          <w:rFonts w:ascii="標楷體" w:eastAsia="標楷體" w:hAnsi="標楷體"/>
        </w:rPr>
      </w:pPr>
    </w:p>
    <w:p w:rsidR="00D80047" w:rsidRPr="008C3545" w:rsidRDefault="00D80047"/>
    <w:p w:rsidR="008C3545" w:rsidRDefault="008C3545"/>
    <w:p w:rsidR="008C3545" w:rsidRDefault="008C3545"/>
    <w:sectPr w:rsidR="008C3545" w:rsidSect="008C35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F6" w:rsidRDefault="00F64BF6" w:rsidP="007B4191">
      <w:r>
        <w:separator/>
      </w:r>
    </w:p>
  </w:endnote>
  <w:endnote w:type="continuationSeparator" w:id="0">
    <w:p w:rsidR="00F64BF6" w:rsidRDefault="00F64BF6" w:rsidP="007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F6" w:rsidRDefault="00F64BF6" w:rsidP="007B4191">
      <w:r>
        <w:separator/>
      </w:r>
    </w:p>
  </w:footnote>
  <w:footnote w:type="continuationSeparator" w:id="0">
    <w:p w:rsidR="00F64BF6" w:rsidRDefault="00F64BF6" w:rsidP="007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3297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 w15:restartNumberingAfterBreak="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3" w15:restartNumberingAfterBreak="0">
    <w:nsid w:val="572C7FDF"/>
    <w:multiLevelType w:val="hybridMultilevel"/>
    <w:tmpl w:val="A97C7EBC"/>
    <w:lvl w:ilvl="0" w:tplc="78143D78">
      <w:start w:val="3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5" w15:restartNumberingAfterBreak="0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545"/>
    <w:rsid w:val="0004138B"/>
    <w:rsid w:val="00060E3B"/>
    <w:rsid w:val="000F7C09"/>
    <w:rsid w:val="00133EB2"/>
    <w:rsid w:val="001638B6"/>
    <w:rsid w:val="001A28D7"/>
    <w:rsid w:val="001E1781"/>
    <w:rsid w:val="001F20A2"/>
    <w:rsid w:val="0026575B"/>
    <w:rsid w:val="00284063"/>
    <w:rsid w:val="002A64A8"/>
    <w:rsid w:val="002B358D"/>
    <w:rsid w:val="00354756"/>
    <w:rsid w:val="00386707"/>
    <w:rsid w:val="003D589A"/>
    <w:rsid w:val="003E124D"/>
    <w:rsid w:val="004527D6"/>
    <w:rsid w:val="004C72A2"/>
    <w:rsid w:val="004D7542"/>
    <w:rsid w:val="004F37AB"/>
    <w:rsid w:val="00551D12"/>
    <w:rsid w:val="005A1E4F"/>
    <w:rsid w:val="005C0E4F"/>
    <w:rsid w:val="005C332B"/>
    <w:rsid w:val="00603AF8"/>
    <w:rsid w:val="006374BE"/>
    <w:rsid w:val="0064154F"/>
    <w:rsid w:val="006D0E30"/>
    <w:rsid w:val="0074174F"/>
    <w:rsid w:val="007870FF"/>
    <w:rsid w:val="007B4191"/>
    <w:rsid w:val="0080227E"/>
    <w:rsid w:val="00831BD0"/>
    <w:rsid w:val="00873DEA"/>
    <w:rsid w:val="008837E7"/>
    <w:rsid w:val="008A3D81"/>
    <w:rsid w:val="008A4877"/>
    <w:rsid w:val="008B7ECC"/>
    <w:rsid w:val="008C3545"/>
    <w:rsid w:val="009055EF"/>
    <w:rsid w:val="00950D6C"/>
    <w:rsid w:val="009547F7"/>
    <w:rsid w:val="00975110"/>
    <w:rsid w:val="00A34A64"/>
    <w:rsid w:val="00A65E7E"/>
    <w:rsid w:val="00A70ACB"/>
    <w:rsid w:val="00A9072C"/>
    <w:rsid w:val="00AA0457"/>
    <w:rsid w:val="00AD61D5"/>
    <w:rsid w:val="00AF3F26"/>
    <w:rsid w:val="00AF6DE4"/>
    <w:rsid w:val="00B34B7B"/>
    <w:rsid w:val="00BB55A9"/>
    <w:rsid w:val="00BE114D"/>
    <w:rsid w:val="00C47546"/>
    <w:rsid w:val="00C842D8"/>
    <w:rsid w:val="00CF70FA"/>
    <w:rsid w:val="00D24480"/>
    <w:rsid w:val="00D80047"/>
    <w:rsid w:val="00D85E37"/>
    <w:rsid w:val="00E85924"/>
    <w:rsid w:val="00EE668E"/>
    <w:rsid w:val="00EF625D"/>
    <w:rsid w:val="00F56AFB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41252-7FD2-4875-9525-63D1D9F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6858-950B-4EEA-B0BE-DC0230AF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2023-06-14T03:16:00Z</cp:lastPrinted>
  <dcterms:created xsi:type="dcterms:W3CDTF">2023-06-15T03:14:00Z</dcterms:created>
  <dcterms:modified xsi:type="dcterms:W3CDTF">2023-06-18T20:48:00Z</dcterms:modified>
</cp:coreProperties>
</file>